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7C" w:rsidRPr="000F5756" w:rsidRDefault="005D18F7">
      <w:pPr>
        <w:rPr>
          <w:rFonts w:ascii="Arial" w:hAnsi="Arial" w:cs="Arial"/>
          <w:sz w:val="24"/>
        </w:rPr>
      </w:pPr>
      <w:r w:rsidRPr="005D18F7">
        <w:rPr>
          <w:rFonts w:ascii="Arial" w:hAnsi="Arial" w:cs="Arial"/>
          <w:noProof/>
          <w:sz w:val="24"/>
        </w:rPr>
        <mc:AlternateContent>
          <mc:Choice Requires="wps">
            <w:drawing>
              <wp:anchor distT="45720" distB="45720" distL="114300" distR="114300" simplePos="0" relativeHeight="251666432" behindDoc="0" locked="0" layoutInCell="1" allowOverlap="1" wp14:anchorId="3577F4EC" wp14:editId="55FBE4B7">
                <wp:simplePos x="0" y="0"/>
                <wp:positionH relativeFrom="column">
                  <wp:posOffset>8530962</wp:posOffset>
                </wp:positionH>
                <wp:positionV relativeFrom="paragraph">
                  <wp:posOffset>3915937</wp:posOffset>
                </wp:positionV>
                <wp:extent cx="241300" cy="249555"/>
                <wp:effectExtent l="0" t="0" r="2540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9555"/>
                        </a:xfrm>
                        <a:prstGeom prst="rect">
                          <a:avLst/>
                        </a:prstGeom>
                        <a:solidFill>
                          <a:schemeClr val="accent1"/>
                        </a:solidFill>
                        <a:ln w="9525">
                          <a:solidFill>
                            <a:schemeClr val="accent1">
                              <a:lumMod val="60000"/>
                              <a:lumOff val="40000"/>
                            </a:schemeClr>
                          </a:solidFill>
                          <a:miter lim="800000"/>
                          <a:headEnd/>
                          <a:tailEnd/>
                        </a:ln>
                      </wps:spPr>
                      <wps:txbx>
                        <w:txbxContent>
                          <w:p w:rsidR="005D18F7" w:rsidRPr="005D18F7" w:rsidRDefault="005D18F7" w:rsidP="005D18F7">
                            <w:pPr>
                              <w:rPr>
                                <w:color w:val="FFFFFF" w:themeColor="background1"/>
                              </w:rPr>
                            </w:pPr>
                            <w:r>
                              <w:rPr>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7F4EC" id="_x0000_t202" coordsize="21600,21600" o:spt="202" path="m,l,21600r21600,l21600,xe">
                <v:stroke joinstyle="miter"/>
                <v:path gradientshapeok="t" o:connecttype="rect"/>
              </v:shapetype>
              <v:shape id="Text Box 2" o:spid="_x0000_s1026" type="#_x0000_t202" style="position:absolute;margin-left:671.75pt;margin-top:308.35pt;width:19pt;height:19.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" fillcolor="#5b9bd5 [3204]" strokecolor="#9cc2e5 [1940]">
                <v:textbox>
                  <w:txbxContent>
                    <w:p w:rsidR="005D18F7" w:rsidRPr="005D18F7" w:rsidRDefault="005D18F7" w:rsidP="005D18F7">
                      <w:pPr>
                        <w:rPr>
                          <w:color w:val="FFFFFF" w:themeColor="background1"/>
                        </w:rPr>
                      </w:pPr>
                      <w:r>
                        <w:rPr>
                          <w:color w:val="FFFFFF" w:themeColor="background1"/>
                        </w:rPr>
                        <w:t>A</w:t>
                      </w:r>
                    </w:p>
                  </w:txbxContent>
                </v:textbox>
                <w10:wrap type="square"/>
              </v:shape>
            </w:pict>
          </mc:Fallback>
        </mc:AlternateContent>
      </w:r>
      <w:r w:rsidRPr="005D18F7">
        <w:rPr>
          <w:rFonts w:ascii="Arial" w:hAnsi="Arial" w:cs="Arial"/>
          <w:noProof/>
          <w:sz w:val="24"/>
        </w:rPr>
        <mc:AlternateContent>
          <mc:Choice Requires="wps">
            <w:drawing>
              <wp:anchor distT="45720" distB="45720" distL="114300" distR="114300" simplePos="0" relativeHeight="251670528" behindDoc="0" locked="0" layoutInCell="1" allowOverlap="1" wp14:anchorId="35774B16" wp14:editId="3C886714">
                <wp:simplePos x="0" y="0"/>
                <wp:positionH relativeFrom="column">
                  <wp:posOffset>8530853</wp:posOffset>
                </wp:positionH>
                <wp:positionV relativeFrom="paragraph">
                  <wp:posOffset>4174526</wp:posOffset>
                </wp:positionV>
                <wp:extent cx="241300" cy="249555"/>
                <wp:effectExtent l="0" t="0" r="2540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9555"/>
                        </a:xfrm>
                        <a:prstGeom prst="rect">
                          <a:avLst/>
                        </a:prstGeom>
                        <a:solidFill>
                          <a:schemeClr val="accent1"/>
                        </a:solidFill>
                        <a:ln w="9525">
                          <a:solidFill>
                            <a:schemeClr val="accent1">
                              <a:lumMod val="60000"/>
                              <a:lumOff val="40000"/>
                            </a:schemeClr>
                          </a:solidFill>
                          <a:miter lim="800000"/>
                          <a:headEnd/>
                          <a:tailEnd/>
                        </a:ln>
                      </wps:spPr>
                      <wps:txbx>
                        <w:txbxContent>
                          <w:p w:rsidR="005D18F7" w:rsidRPr="005D18F7" w:rsidRDefault="005D18F7" w:rsidP="005D18F7">
                            <w:pPr>
                              <w:rPr>
                                <w:color w:val="FFFFFF" w:themeColor="background1"/>
                              </w:rPr>
                            </w:pPr>
                            <w:r>
                              <w:rPr>
                                <w:color w:val="FFFFFF" w:themeColor="background1"/>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74B16" id="_x0000_s1027" type="#_x0000_t202" style="position:absolute;margin-left:671.7pt;margin-top:328.7pt;width:19pt;height:1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" fillcolor="#5b9bd5 [3204]" strokecolor="#9cc2e5 [1940]">
                <v:textbox>
                  <w:txbxContent>
                    <w:p w:rsidR="005D18F7" w:rsidRPr="005D18F7" w:rsidRDefault="005D18F7" w:rsidP="005D18F7">
                      <w:pPr>
                        <w:rPr>
                          <w:color w:val="FFFFFF" w:themeColor="background1"/>
                        </w:rPr>
                      </w:pPr>
                      <w:r>
                        <w:rPr>
                          <w:color w:val="FFFFFF" w:themeColor="background1"/>
                        </w:rPr>
                        <w:t>B</w:t>
                      </w:r>
                    </w:p>
                  </w:txbxContent>
                </v:textbox>
                <w10:wrap type="square"/>
              </v:shape>
            </w:pict>
          </mc:Fallback>
        </mc:AlternateContent>
      </w:r>
      <w:r w:rsidRPr="005D18F7">
        <w:rPr>
          <w:rFonts w:ascii="Arial" w:hAnsi="Arial" w:cs="Arial"/>
          <w:noProof/>
          <w:sz w:val="24"/>
        </w:rPr>
        <mc:AlternateContent>
          <mc:Choice Requires="wps">
            <w:drawing>
              <wp:anchor distT="45720" distB="45720" distL="114300" distR="114300" simplePos="0" relativeHeight="251668480" behindDoc="0" locked="0" layoutInCell="1" allowOverlap="1" wp14:anchorId="120EAF59" wp14:editId="58699E15">
                <wp:simplePos x="0" y="0"/>
                <wp:positionH relativeFrom="column">
                  <wp:posOffset>2225615</wp:posOffset>
                </wp:positionH>
                <wp:positionV relativeFrom="paragraph">
                  <wp:posOffset>5730600</wp:posOffset>
                </wp:positionV>
                <wp:extent cx="241300" cy="249555"/>
                <wp:effectExtent l="0" t="0" r="2540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9555"/>
                        </a:xfrm>
                        <a:prstGeom prst="rect">
                          <a:avLst/>
                        </a:prstGeom>
                        <a:solidFill>
                          <a:schemeClr val="accent1"/>
                        </a:solidFill>
                        <a:ln w="9525">
                          <a:solidFill>
                            <a:schemeClr val="accent1">
                              <a:lumMod val="60000"/>
                              <a:lumOff val="40000"/>
                            </a:schemeClr>
                          </a:solidFill>
                          <a:miter lim="800000"/>
                          <a:headEnd/>
                          <a:tailEnd/>
                        </a:ln>
                      </wps:spPr>
                      <wps:txbx>
                        <w:txbxContent>
                          <w:p w:rsidR="005D18F7" w:rsidRPr="005D18F7" w:rsidRDefault="005D18F7" w:rsidP="005D18F7">
                            <w:pPr>
                              <w:rPr>
                                <w:color w:val="FFFFFF" w:themeColor="background1"/>
                              </w:rPr>
                            </w:pPr>
                            <w:r>
                              <w:rPr>
                                <w:color w:val="FFFFFF" w:themeColor="background1"/>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EAF59" id="_x0000_s1028" type="#_x0000_t202" style="position:absolute;margin-left:175.25pt;margin-top:451.25pt;width:19pt;height:19.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" fillcolor="#5b9bd5 [3204]" strokecolor="#9cc2e5 [1940]">
                <v:textbox>
                  <w:txbxContent>
                    <w:p w:rsidR="005D18F7" w:rsidRPr="005D18F7" w:rsidRDefault="005D18F7" w:rsidP="005D18F7">
                      <w:pPr>
                        <w:rPr>
                          <w:color w:val="FFFFFF" w:themeColor="background1"/>
                        </w:rPr>
                      </w:pPr>
                      <w:r>
                        <w:rPr>
                          <w:color w:val="FFFFFF" w:themeColor="background1"/>
                        </w:rPr>
                        <w:t>B</w:t>
                      </w:r>
                    </w:p>
                  </w:txbxContent>
                </v:textbox>
                <w10:wrap type="square"/>
              </v:shape>
            </w:pict>
          </mc:Fallback>
        </mc:AlternateContent>
      </w:r>
      <w:r w:rsidRPr="005D18F7">
        <w:rPr>
          <w:rFonts w:ascii="Arial" w:hAnsi="Arial" w:cs="Arial"/>
          <w:noProof/>
          <w:sz w:val="24"/>
        </w:rPr>
        <mc:AlternateContent>
          <mc:Choice Requires="wps">
            <w:drawing>
              <wp:anchor distT="45720" distB="45720" distL="114300" distR="114300" simplePos="0" relativeHeight="251664384" behindDoc="0" locked="0" layoutInCell="1" allowOverlap="1">
                <wp:simplePos x="0" y="0"/>
                <wp:positionH relativeFrom="column">
                  <wp:posOffset>2207895</wp:posOffset>
                </wp:positionH>
                <wp:positionV relativeFrom="paragraph">
                  <wp:posOffset>4864735</wp:posOffset>
                </wp:positionV>
                <wp:extent cx="241300" cy="232410"/>
                <wp:effectExtent l="0" t="0" r="254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2410"/>
                        </a:xfrm>
                        <a:prstGeom prst="rect">
                          <a:avLst/>
                        </a:prstGeom>
                        <a:solidFill>
                          <a:schemeClr val="accent1"/>
                        </a:solidFill>
                        <a:ln w="9525">
                          <a:solidFill>
                            <a:schemeClr val="accent1">
                              <a:lumMod val="60000"/>
                              <a:lumOff val="40000"/>
                            </a:schemeClr>
                          </a:solidFill>
                          <a:miter lim="800000"/>
                          <a:headEnd/>
                          <a:tailEnd/>
                        </a:ln>
                      </wps:spPr>
                      <wps:txbx>
                        <w:txbxContent>
                          <w:p w:rsidR="005D18F7" w:rsidRPr="005D18F7" w:rsidRDefault="005D18F7">
                            <w:pPr>
                              <w:rPr>
                                <w:color w:val="FFFFFF" w:themeColor="background1"/>
                              </w:rPr>
                            </w:pPr>
                            <w:r>
                              <w:rPr>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85pt;margin-top:383.05pt;width:19pt;height:1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" fillcolor="#5b9bd5 [3204]" strokecolor="#9cc2e5 [1940]">
                <v:textbox>
                  <w:txbxContent>
                    <w:p w:rsidR="005D18F7" w:rsidRPr="005D18F7" w:rsidRDefault="005D18F7">
                      <w:pPr>
                        <w:rPr>
                          <w:color w:val="FFFFFF" w:themeColor="background1"/>
                        </w:rPr>
                      </w:pPr>
                      <w:r>
                        <w:rPr>
                          <w:color w:val="FFFFFF" w:themeColor="background1"/>
                        </w:rPr>
                        <w:t>A</w:t>
                      </w: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margin">
              <wp:posOffset>0</wp:posOffset>
            </wp:positionH>
            <wp:positionV relativeFrom="margin">
              <wp:posOffset>4179941</wp:posOffset>
            </wp:positionV>
            <wp:extent cx="5032375" cy="2578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32375" cy="25781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AD58BE">
        <w:rPr>
          <w:noProof/>
        </w:rPr>
        <w:drawing>
          <wp:anchor distT="0" distB="0" distL="114300" distR="114300" simplePos="0" relativeHeight="251658240" behindDoc="0" locked="0" layoutInCell="1" allowOverlap="1">
            <wp:simplePos x="0" y="0"/>
            <wp:positionH relativeFrom="margin">
              <wp:posOffset>5080635</wp:posOffset>
            </wp:positionH>
            <wp:positionV relativeFrom="paragraph">
              <wp:posOffset>845328</wp:posOffset>
            </wp:positionV>
            <wp:extent cx="4252595" cy="5166995"/>
            <wp:effectExtent l="19050" t="19050" r="14605"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9939"/>
                    <a:stretch/>
                  </pic:blipFill>
                  <pic:spPr bwMode="auto">
                    <a:xfrm>
                      <a:off x="0" y="0"/>
                      <a:ext cx="4252595" cy="516699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D58BE" w:rsidRPr="00080F46">
        <w:rPr>
          <w:rFonts w:ascii="Arial" w:hAnsi="Arial" w:cs="Arial"/>
          <w:noProof/>
          <w:sz w:val="24"/>
        </w:rPr>
        <mc:AlternateContent>
          <mc:Choice Requires="wps">
            <w:drawing>
              <wp:anchor distT="45720" distB="45720" distL="114300" distR="114300" simplePos="0" relativeHeight="251661312" behindDoc="0" locked="0" layoutInCell="1" allowOverlap="1">
                <wp:simplePos x="0" y="0"/>
                <wp:positionH relativeFrom="margin">
                  <wp:posOffset>-259140</wp:posOffset>
                </wp:positionH>
                <wp:positionV relativeFrom="paragraph">
                  <wp:posOffset>413684</wp:posOffset>
                </wp:positionV>
                <wp:extent cx="5260975" cy="3761105"/>
                <wp:effectExtent l="0" t="0" r="158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761105"/>
                        </a:xfrm>
                        <a:prstGeom prst="rect">
                          <a:avLst/>
                        </a:prstGeom>
                        <a:solidFill>
                          <a:srgbClr val="FFFFFF"/>
                        </a:solidFill>
                        <a:ln w="9525">
                          <a:solidFill>
                            <a:schemeClr val="bg1"/>
                          </a:solidFill>
                          <a:miter lim="800000"/>
                          <a:headEnd/>
                          <a:tailEnd/>
                        </a:ln>
                      </wps:spPr>
                      <wps:txbx>
                        <w:txbxContent>
                          <w:p w:rsidR="00080F46" w:rsidRPr="00D056E5" w:rsidRDefault="00080F46">
                            <w:pPr>
                              <w:rPr>
                                <w:rFonts w:ascii="Arial" w:hAnsi="Arial" w:cs="Arial"/>
                                <w:b/>
                                <w:sz w:val="24"/>
                              </w:rPr>
                            </w:pPr>
                            <w:r w:rsidRPr="00D056E5">
                              <w:rPr>
                                <w:rFonts w:ascii="Arial" w:hAnsi="Arial" w:cs="Arial"/>
                                <w:b/>
                                <w:sz w:val="24"/>
                              </w:rPr>
                              <w:t>From Journals to Statements (Balance Sheet- Assets)</w:t>
                            </w:r>
                          </w:p>
                          <w:p w:rsidR="00080F46" w:rsidRPr="00D056E5" w:rsidRDefault="00080F46" w:rsidP="00D056E5">
                            <w:pPr>
                              <w:pStyle w:val="ListParagraph"/>
                              <w:numPr>
                                <w:ilvl w:val="0"/>
                                <w:numId w:val="1"/>
                              </w:numPr>
                              <w:spacing w:line="276" w:lineRule="auto"/>
                              <w:rPr>
                                <w:rFonts w:ascii="Arial" w:hAnsi="Arial" w:cs="Arial"/>
                              </w:rPr>
                            </w:pPr>
                            <w:r w:rsidRPr="00D056E5">
                              <w:rPr>
                                <w:rFonts w:ascii="Arial" w:hAnsi="Arial" w:cs="Arial"/>
                              </w:rPr>
                              <w:t xml:space="preserve">Asset cash should be consistent with ending </w:t>
                            </w:r>
                            <w:r w:rsidR="00FD0A2F" w:rsidRPr="00D056E5">
                              <w:rPr>
                                <w:rFonts w:ascii="Arial" w:hAnsi="Arial" w:cs="Arial"/>
                              </w:rPr>
                              <w:t>cash balance on the Cash Budget at the end of the period.  If the Balance Sheet is prepared for a specific day during the fiscal year, cash should be reflective of the firm’s bank account balance as of that day.</w:t>
                            </w:r>
                          </w:p>
                          <w:p w:rsidR="00FD0A2F" w:rsidRPr="00D056E5" w:rsidRDefault="00FD0A2F" w:rsidP="00D056E5">
                            <w:pPr>
                              <w:pStyle w:val="ListParagraph"/>
                              <w:numPr>
                                <w:ilvl w:val="0"/>
                                <w:numId w:val="1"/>
                              </w:numPr>
                              <w:spacing w:line="276" w:lineRule="auto"/>
                              <w:rPr>
                                <w:rFonts w:ascii="Arial" w:hAnsi="Arial" w:cs="Arial"/>
                              </w:rPr>
                            </w:pPr>
                            <w:r w:rsidRPr="00D056E5">
                              <w:rPr>
                                <w:rFonts w:ascii="Arial" w:hAnsi="Arial" w:cs="Arial"/>
                              </w:rPr>
                              <w:t xml:space="preserve">Accounts Receivable should match the sum of all unpaid accounts </w:t>
                            </w:r>
                            <w:r w:rsidR="00703410" w:rsidRPr="00D056E5">
                              <w:rPr>
                                <w:rFonts w:ascii="Arial" w:hAnsi="Arial" w:cs="Arial"/>
                              </w:rPr>
                              <w:t xml:space="preserve">in the Sales Journal.  If your firm has been in operation for more than one year, previous years’ receivables should be included as well.  For accounts that are no longer collectable or have been proven difficult to collect, consider recording them as bad debt expenses.  See resources on bad debt on the portal for details.  </w:t>
                            </w:r>
                          </w:p>
                          <w:p w:rsidR="00703410" w:rsidRPr="00D056E5" w:rsidRDefault="00703410" w:rsidP="00D056E5">
                            <w:pPr>
                              <w:pStyle w:val="ListParagraph"/>
                              <w:numPr>
                                <w:ilvl w:val="0"/>
                                <w:numId w:val="1"/>
                              </w:numPr>
                              <w:spacing w:line="276" w:lineRule="auto"/>
                              <w:rPr>
                                <w:rFonts w:ascii="Arial" w:hAnsi="Arial" w:cs="Arial"/>
                              </w:rPr>
                            </w:pPr>
                            <w:r w:rsidRPr="00D056E5">
                              <w:rPr>
                                <w:rFonts w:ascii="Arial" w:hAnsi="Arial" w:cs="Arial"/>
                              </w:rPr>
                              <w:t>Merchandise Inventory should be consistent with firm’s Inventory Records.</w:t>
                            </w:r>
                          </w:p>
                          <w:p w:rsidR="00703410" w:rsidRPr="00D056E5" w:rsidRDefault="00703410" w:rsidP="00D056E5">
                            <w:pPr>
                              <w:pStyle w:val="ListParagraph"/>
                              <w:numPr>
                                <w:ilvl w:val="0"/>
                                <w:numId w:val="1"/>
                              </w:numPr>
                              <w:spacing w:line="276" w:lineRule="auto"/>
                              <w:rPr>
                                <w:rFonts w:ascii="Arial" w:hAnsi="Arial" w:cs="Arial"/>
                              </w:rPr>
                            </w:pPr>
                            <w:r w:rsidRPr="00D056E5">
                              <w:rPr>
                                <w:rFonts w:ascii="Arial" w:hAnsi="Arial" w:cs="Arial"/>
                              </w:rPr>
                              <w:t>Supplies should match what has been purchased in the Purchases Journal subtracting the amount that has already been used.</w:t>
                            </w:r>
                          </w:p>
                          <w:p w:rsidR="00703410" w:rsidRPr="00D056E5" w:rsidRDefault="00D056E5" w:rsidP="00D056E5">
                            <w:pPr>
                              <w:pStyle w:val="ListParagraph"/>
                              <w:numPr>
                                <w:ilvl w:val="0"/>
                                <w:numId w:val="1"/>
                              </w:numPr>
                              <w:spacing w:line="276" w:lineRule="auto"/>
                              <w:rPr>
                                <w:rFonts w:ascii="Arial" w:hAnsi="Arial" w:cs="Arial"/>
                              </w:rPr>
                            </w:pPr>
                            <w:r w:rsidRPr="00D056E5">
                              <w:rPr>
                                <w:rFonts w:ascii="Arial" w:hAnsi="Arial" w:cs="Arial"/>
                              </w:rPr>
                              <w:t xml:space="preserve">Purchased assets should be recorded in the Asset Log and show annual depreciation deduction for five years calculated using the 5 year straight line depreciation method.  </w:t>
                            </w:r>
                            <w:r>
                              <w:rPr>
                                <w:rFonts w:ascii="Arial" w:hAnsi="Arial" w:cs="Arial"/>
                              </w:rPr>
                              <w:t>The Asset Log shown below shows computers purchased at the price of 35,000</w:t>
                            </w:r>
                            <w:r w:rsidR="00AD58BE">
                              <w:rPr>
                                <w:rFonts w:ascii="Arial" w:hAnsi="Arial" w:cs="Arial"/>
                              </w:rPr>
                              <w:t>, annual depreciation deduction 7,000 which is 20% of the original price of 35,000.</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4pt;margin-top:32.55pt;width:414.25pt;height:29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" strokecolor="white [3212]">
                <v:textbox>
                  <w:txbxContent>
                    <w:p w:rsidR="00080F46" w:rsidRPr="00D056E5" w:rsidRDefault="00080F46">
                      <w:pPr>
                        <w:rPr>
                          <w:rFonts w:ascii="Arial" w:hAnsi="Arial" w:cs="Arial"/>
                          <w:b/>
                          <w:sz w:val="24"/>
                        </w:rPr>
                      </w:pPr>
                      <w:r w:rsidRPr="00D056E5">
                        <w:rPr>
                          <w:rFonts w:ascii="Arial" w:hAnsi="Arial" w:cs="Arial"/>
                          <w:b/>
                          <w:sz w:val="24"/>
                        </w:rPr>
                        <w:t>From Journals to Statements (Balance Sheet- Assets)</w:t>
                      </w:r>
                    </w:p>
                    <w:p w:rsidR="00080F46" w:rsidRPr="00D056E5" w:rsidRDefault="00080F46" w:rsidP="00D056E5">
                      <w:pPr>
                        <w:pStyle w:val="ListParagraph"/>
                        <w:numPr>
                          <w:ilvl w:val="0"/>
                          <w:numId w:val="1"/>
                        </w:numPr>
                        <w:spacing w:line="276" w:lineRule="auto"/>
                        <w:rPr>
                          <w:rFonts w:ascii="Arial" w:hAnsi="Arial" w:cs="Arial"/>
                        </w:rPr>
                      </w:pPr>
                      <w:r w:rsidRPr="00D056E5">
                        <w:rPr>
                          <w:rFonts w:ascii="Arial" w:hAnsi="Arial" w:cs="Arial"/>
                        </w:rPr>
                        <w:t xml:space="preserve">Asset cash should be consistent with ending </w:t>
                      </w:r>
                      <w:r w:rsidR="00FD0A2F" w:rsidRPr="00D056E5">
                        <w:rPr>
                          <w:rFonts w:ascii="Arial" w:hAnsi="Arial" w:cs="Arial"/>
                        </w:rPr>
                        <w:t>cash balance on the Cash Budget at the end of the period.  If the Balance Sheet is prepared for a specific day during the fiscal year, cash should be reflective of the firm’s bank account balance as of that day.</w:t>
                      </w:r>
                    </w:p>
                    <w:p w:rsidR="00FD0A2F" w:rsidRPr="00D056E5" w:rsidRDefault="00FD0A2F" w:rsidP="00D056E5">
                      <w:pPr>
                        <w:pStyle w:val="ListParagraph"/>
                        <w:numPr>
                          <w:ilvl w:val="0"/>
                          <w:numId w:val="1"/>
                        </w:numPr>
                        <w:spacing w:line="276" w:lineRule="auto"/>
                        <w:rPr>
                          <w:rFonts w:ascii="Arial" w:hAnsi="Arial" w:cs="Arial"/>
                        </w:rPr>
                      </w:pPr>
                      <w:r w:rsidRPr="00D056E5">
                        <w:rPr>
                          <w:rFonts w:ascii="Arial" w:hAnsi="Arial" w:cs="Arial"/>
                        </w:rPr>
                        <w:t xml:space="preserve">Accounts Receivable should match the sum of all unpaid accounts </w:t>
                      </w:r>
                      <w:r w:rsidR="00703410" w:rsidRPr="00D056E5">
                        <w:rPr>
                          <w:rFonts w:ascii="Arial" w:hAnsi="Arial" w:cs="Arial"/>
                        </w:rPr>
                        <w:t xml:space="preserve">in the Sales Journal.  If your firm has been in operation for more than one year, previous years’ receivables should be included as well.  For accounts that are no longer collectable or have been proven difficult to collect, consider recording them as bad debt expenses.  See resources on bad debt on the portal for details.  </w:t>
                      </w:r>
                    </w:p>
                    <w:p w:rsidR="00703410" w:rsidRPr="00D056E5" w:rsidRDefault="00703410" w:rsidP="00D056E5">
                      <w:pPr>
                        <w:pStyle w:val="ListParagraph"/>
                        <w:numPr>
                          <w:ilvl w:val="0"/>
                          <w:numId w:val="1"/>
                        </w:numPr>
                        <w:spacing w:line="276" w:lineRule="auto"/>
                        <w:rPr>
                          <w:rFonts w:ascii="Arial" w:hAnsi="Arial" w:cs="Arial"/>
                        </w:rPr>
                      </w:pPr>
                      <w:r w:rsidRPr="00D056E5">
                        <w:rPr>
                          <w:rFonts w:ascii="Arial" w:hAnsi="Arial" w:cs="Arial"/>
                        </w:rPr>
                        <w:t>Merchandise Inventory should be consistent with firm’s Inventory Records.</w:t>
                      </w:r>
                    </w:p>
                    <w:p w:rsidR="00703410" w:rsidRPr="00D056E5" w:rsidRDefault="00703410" w:rsidP="00D056E5">
                      <w:pPr>
                        <w:pStyle w:val="ListParagraph"/>
                        <w:numPr>
                          <w:ilvl w:val="0"/>
                          <w:numId w:val="1"/>
                        </w:numPr>
                        <w:spacing w:line="276" w:lineRule="auto"/>
                        <w:rPr>
                          <w:rFonts w:ascii="Arial" w:hAnsi="Arial" w:cs="Arial"/>
                        </w:rPr>
                      </w:pPr>
                      <w:r w:rsidRPr="00D056E5">
                        <w:rPr>
                          <w:rFonts w:ascii="Arial" w:hAnsi="Arial" w:cs="Arial"/>
                        </w:rPr>
                        <w:t>Supplies should match what has been purchased in the Purchases Journal subtracting the amount that has already been used.</w:t>
                      </w:r>
                    </w:p>
                    <w:p w:rsidR="00703410" w:rsidRPr="00D056E5" w:rsidRDefault="00D056E5" w:rsidP="00D056E5">
                      <w:pPr>
                        <w:pStyle w:val="ListParagraph"/>
                        <w:numPr>
                          <w:ilvl w:val="0"/>
                          <w:numId w:val="1"/>
                        </w:numPr>
                        <w:spacing w:line="276" w:lineRule="auto"/>
                        <w:rPr>
                          <w:rFonts w:ascii="Arial" w:hAnsi="Arial" w:cs="Arial"/>
                        </w:rPr>
                      </w:pPr>
                      <w:r w:rsidRPr="00D056E5">
                        <w:rPr>
                          <w:rFonts w:ascii="Arial" w:hAnsi="Arial" w:cs="Arial"/>
                        </w:rPr>
                        <w:t xml:space="preserve">Purchased assets should be recorded in the Asset Log and show annual depreciation deduction for five years calculated using the 5 year straight line depreciation method.  </w:t>
                      </w:r>
                      <w:r>
                        <w:rPr>
                          <w:rFonts w:ascii="Arial" w:hAnsi="Arial" w:cs="Arial"/>
                        </w:rPr>
                        <w:t>The Asset Log shown below shows computers purchased at the price of 35,000</w:t>
                      </w:r>
                      <w:r w:rsidR="00AD58BE">
                        <w:rPr>
                          <w:rFonts w:ascii="Arial" w:hAnsi="Arial" w:cs="Arial"/>
                        </w:rPr>
                        <w:t>, annual depreciation deduction 7,000 which is 20% of the original price of 35,000.</w:t>
                      </w:r>
                      <w:r>
                        <w:rPr>
                          <w:rFonts w:ascii="Arial" w:hAnsi="Arial" w:cs="Arial"/>
                        </w:rPr>
                        <w:t xml:space="preserve"> </w:t>
                      </w:r>
                    </w:p>
                  </w:txbxContent>
                </v:textbox>
                <w10:wrap type="square" anchorx="margin"/>
              </v:shape>
            </w:pict>
          </mc:Fallback>
        </mc:AlternateContent>
      </w:r>
    </w:p>
    <w:sectPr w:rsidR="005D627C" w:rsidRPr="000F5756" w:rsidSect="00D056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32D8"/>
    <w:multiLevelType w:val="hybridMultilevel"/>
    <w:tmpl w:val="20FC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B0"/>
    <w:rsid w:val="00080F46"/>
    <w:rsid w:val="000C4D8A"/>
    <w:rsid w:val="000F5756"/>
    <w:rsid w:val="005033B0"/>
    <w:rsid w:val="005D18F7"/>
    <w:rsid w:val="005D627C"/>
    <w:rsid w:val="00703410"/>
    <w:rsid w:val="00AD58BE"/>
    <w:rsid w:val="00D056E5"/>
    <w:rsid w:val="00FD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F1BC-07AD-4364-BFA4-57655892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2017-07-06T15:40:00Z</dcterms:created>
  <dcterms:modified xsi:type="dcterms:W3CDTF">2017-07-06T18:04:00Z</dcterms:modified>
</cp:coreProperties>
</file>